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256"/>
        <w:tblW w:w="11670" w:type="dxa"/>
        <w:tblLayout w:type="fixed"/>
        <w:tblLook w:val="04A0" w:firstRow="1" w:lastRow="0" w:firstColumn="1" w:lastColumn="0" w:noHBand="0" w:noVBand="1"/>
      </w:tblPr>
      <w:tblGrid>
        <w:gridCol w:w="5670"/>
        <w:gridCol w:w="6000"/>
      </w:tblGrid>
      <w:tr w:rsidR="00CE7581" w:rsidRPr="00F62161" w:rsidTr="00CE7581">
        <w:tc>
          <w:tcPr>
            <w:tcW w:w="11670" w:type="dxa"/>
            <w:gridSpan w:val="2"/>
            <w:tcBorders>
              <w:top w:val="single" w:sz="24" w:space="0" w:color="auto"/>
              <w:left w:val="single" w:sz="24" w:space="0" w:color="auto"/>
              <w:bottom w:val="single" w:sz="4" w:space="0" w:color="auto"/>
              <w:right w:val="single" w:sz="24" w:space="0" w:color="auto"/>
            </w:tcBorders>
            <w:hideMark/>
          </w:tcPr>
          <w:p w:rsidR="00CE7581" w:rsidRPr="00F62161" w:rsidRDefault="00CE7581" w:rsidP="00CE7581">
            <w:pPr>
              <w:jc w:val="center"/>
              <w:rPr>
                <w:color w:val="000000" w:themeColor="text1"/>
                <w:sz w:val="44"/>
              </w:rPr>
            </w:pPr>
            <w:r w:rsidRPr="00F62161">
              <w:rPr>
                <w:color w:val="000000" w:themeColor="text1"/>
                <w:sz w:val="44"/>
              </w:rPr>
              <w:t xml:space="preserve">What is it we expect students to learn?  </w:t>
            </w:r>
          </w:p>
        </w:tc>
      </w:tr>
      <w:tr w:rsidR="00CE7581" w:rsidRPr="00F62161" w:rsidTr="00CE7581">
        <w:tc>
          <w:tcPr>
            <w:tcW w:w="5670" w:type="dxa"/>
            <w:tcBorders>
              <w:top w:val="single" w:sz="4" w:space="0" w:color="auto"/>
              <w:left w:val="single" w:sz="24" w:space="0" w:color="auto"/>
              <w:bottom w:val="single" w:sz="24" w:space="0" w:color="auto"/>
              <w:right w:val="single" w:sz="4" w:space="0" w:color="auto"/>
            </w:tcBorders>
            <w:hideMark/>
          </w:tcPr>
          <w:p w:rsidR="00CE7581" w:rsidRPr="00F62161" w:rsidRDefault="00CE7581" w:rsidP="00CE7581">
            <w:pPr>
              <w:rPr>
                <w:color w:val="000000" w:themeColor="text1"/>
              </w:rPr>
            </w:pPr>
            <w:r w:rsidRPr="00F62161">
              <w:rPr>
                <w:color w:val="000000" w:themeColor="text1"/>
                <w:sz w:val="40"/>
              </w:rPr>
              <w:t xml:space="preserve">Grade: </w:t>
            </w:r>
            <w:r w:rsidR="003C1CC9">
              <w:rPr>
                <w:b/>
                <w:color w:val="000000" w:themeColor="text1"/>
                <w:sz w:val="40"/>
              </w:rPr>
              <w:t>4</w:t>
            </w:r>
            <w:r w:rsidR="003C1CC9" w:rsidRPr="003C1CC9">
              <w:rPr>
                <w:b/>
                <w:color w:val="000000" w:themeColor="text1"/>
                <w:sz w:val="40"/>
                <w:vertAlign w:val="superscript"/>
              </w:rPr>
              <w:t>th</w:t>
            </w:r>
            <w:r w:rsidR="003C1CC9">
              <w:rPr>
                <w:b/>
                <w:color w:val="000000" w:themeColor="text1"/>
                <w:sz w:val="40"/>
              </w:rPr>
              <w:t xml:space="preserve"> Grade</w:t>
            </w:r>
          </w:p>
        </w:tc>
        <w:tc>
          <w:tcPr>
            <w:tcW w:w="6000" w:type="dxa"/>
            <w:tcBorders>
              <w:top w:val="single" w:sz="4" w:space="0" w:color="auto"/>
              <w:left w:val="single" w:sz="4" w:space="0" w:color="auto"/>
              <w:bottom w:val="single" w:sz="24" w:space="0" w:color="auto"/>
              <w:right w:val="single" w:sz="24" w:space="0" w:color="auto"/>
            </w:tcBorders>
            <w:hideMark/>
          </w:tcPr>
          <w:p w:rsidR="00CE7581" w:rsidRPr="00F62161" w:rsidRDefault="00CE7581" w:rsidP="00CE7581">
            <w:pPr>
              <w:rPr>
                <w:color w:val="000000" w:themeColor="text1"/>
                <w:sz w:val="40"/>
                <w:szCs w:val="40"/>
              </w:rPr>
            </w:pPr>
            <w:r w:rsidRPr="00F62161">
              <w:rPr>
                <w:color w:val="000000" w:themeColor="text1"/>
                <w:sz w:val="40"/>
                <w:szCs w:val="40"/>
              </w:rPr>
              <w:t xml:space="preserve">Subject: </w:t>
            </w:r>
            <w:r w:rsidRPr="00F62161">
              <w:rPr>
                <w:b/>
                <w:color w:val="000000" w:themeColor="text1"/>
                <w:sz w:val="40"/>
                <w:szCs w:val="40"/>
              </w:rPr>
              <w:t>Mathematics</w:t>
            </w:r>
          </w:p>
          <w:p w:rsidR="00CE7581" w:rsidRPr="00F62161" w:rsidRDefault="00CE7581" w:rsidP="00CE7581">
            <w:pPr>
              <w:rPr>
                <w:color w:val="000000" w:themeColor="text1"/>
                <w:sz w:val="44"/>
              </w:rPr>
            </w:pPr>
          </w:p>
        </w:tc>
      </w:tr>
    </w:tbl>
    <w:tbl>
      <w:tblPr>
        <w:tblStyle w:val="TableGrid"/>
        <w:tblW w:w="11700" w:type="dxa"/>
        <w:tblInd w:w="-120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850"/>
        <w:gridCol w:w="5850"/>
      </w:tblGrid>
      <w:tr w:rsidR="00042341" w:rsidTr="00151A4E">
        <w:tc>
          <w:tcPr>
            <w:tcW w:w="5850" w:type="dxa"/>
          </w:tcPr>
          <w:p w:rsidR="00204267" w:rsidRDefault="00042341">
            <w:pPr>
              <w:rPr>
                <w:u w:val="single"/>
              </w:rPr>
            </w:pPr>
            <w:r w:rsidRPr="00042341">
              <w:rPr>
                <w:u w:val="single"/>
              </w:rPr>
              <w:t xml:space="preserve">First Quarter </w:t>
            </w:r>
          </w:p>
          <w:p w:rsidR="003C1CC9" w:rsidRDefault="00826A6D">
            <w:pPr>
              <w:rPr>
                <w:b/>
              </w:rPr>
            </w:pPr>
            <w:r>
              <w:rPr>
                <w:b/>
              </w:rPr>
              <w:t xml:space="preserve">Place Value, </w:t>
            </w:r>
            <w:r w:rsidR="003C1CC9">
              <w:rPr>
                <w:b/>
              </w:rPr>
              <w:t>Addition, Subtraction, and Multiplication</w:t>
            </w:r>
          </w:p>
          <w:p w:rsidR="00826A6D" w:rsidRDefault="00826A6D" w:rsidP="00826A6D">
            <w:pPr>
              <w:rPr>
                <w:b/>
              </w:rPr>
            </w:pPr>
          </w:p>
          <w:p w:rsidR="00826A6D" w:rsidRPr="0066294E" w:rsidRDefault="00826A6D" w:rsidP="00826A6D">
            <w:pPr>
              <w:rPr>
                <w:b/>
              </w:rPr>
            </w:pPr>
            <w:r w:rsidRPr="0066294E">
              <w:rPr>
                <w:b/>
              </w:rPr>
              <w:t xml:space="preserve">4.NBT.A.1 </w:t>
            </w:r>
            <w:r w:rsidRPr="0066294E">
              <w:rPr>
                <w:rFonts w:ascii="Calibri" w:hAnsi="Calibri"/>
                <w:color w:val="000000"/>
              </w:rPr>
              <w:t>Apply concepts of place value, multiplication, and division to understand that in a multi-digit whole number, a digit in one place represents ten times what it represents in the place to its right.</w:t>
            </w:r>
          </w:p>
          <w:p w:rsidR="00826A6D" w:rsidRPr="0066294E" w:rsidRDefault="00826A6D" w:rsidP="00826A6D">
            <w:pPr>
              <w:rPr>
                <w:b/>
              </w:rPr>
            </w:pPr>
          </w:p>
          <w:p w:rsidR="003C1CC9" w:rsidRDefault="003C1CC9">
            <w:pPr>
              <w:rPr>
                <w:rFonts w:ascii="Calibri" w:hAnsi="Calibri"/>
                <w:color w:val="000000"/>
              </w:rPr>
            </w:pPr>
            <w:r>
              <w:rPr>
                <w:b/>
              </w:rPr>
              <w:t>4.NBT.B.4</w:t>
            </w:r>
            <w:r w:rsidRPr="0013243B">
              <w:rPr>
                <w:rFonts w:ascii="Calibri" w:hAnsi="Calibri"/>
                <w:color w:val="000000"/>
              </w:rPr>
              <w:t xml:space="preserve"> Fluently add and subtract multi-digit whole numbers using a standard algorithm.</w:t>
            </w:r>
          </w:p>
          <w:p w:rsidR="003C1CC9" w:rsidRDefault="003C1CC9">
            <w:pPr>
              <w:rPr>
                <w:b/>
              </w:rPr>
            </w:pPr>
          </w:p>
          <w:p w:rsidR="003C1CC9" w:rsidRDefault="003C1CC9">
            <w:pPr>
              <w:rPr>
                <w:rFonts w:ascii="Calibri" w:hAnsi="Calibri"/>
                <w:color w:val="000000"/>
              </w:rPr>
            </w:pPr>
            <w:r>
              <w:rPr>
                <w:b/>
              </w:rPr>
              <w:t>4.OA.A.1</w:t>
            </w:r>
            <w:r w:rsidRPr="0013243B">
              <w:rPr>
                <w:rFonts w:ascii="Calibri" w:hAnsi="Calibri"/>
                <w:color w:val="000000"/>
              </w:rPr>
              <w:t xml:space="preserve"> Represent verbal statements of multiplicative comparisons as multiplication equations. Interpret a multiplication </w:t>
            </w:r>
            <w:r>
              <w:rPr>
                <w:rFonts w:ascii="Calibri" w:hAnsi="Calibri"/>
                <w:color w:val="000000"/>
              </w:rPr>
              <w:t>equation as a comparison</w:t>
            </w:r>
          </w:p>
          <w:p w:rsidR="003C1CC9" w:rsidRDefault="003C1CC9">
            <w:pPr>
              <w:rPr>
                <w:b/>
              </w:rPr>
            </w:pPr>
          </w:p>
          <w:p w:rsidR="00042341" w:rsidRPr="003C1CC9" w:rsidRDefault="003C1CC9" w:rsidP="00042341">
            <w:pPr>
              <w:rPr>
                <w:b/>
              </w:rPr>
            </w:pPr>
            <w:r>
              <w:rPr>
                <w:b/>
              </w:rPr>
              <w:t xml:space="preserve">4.NBT.B.5 </w:t>
            </w:r>
            <w:r w:rsidRPr="0013243B">
              <w:rPr>
                <w:rFonts w:ascii="Calibri" w:hAnsi="Calibri"/>
                <w:color w:val="000000"/>
              </w:rPr>
              <w:t xml:space="preserve">Multiply a whole number of up to four digits by a one-digit whole number, and multiply </w:t>
            </w:r>
            <w:r>
              <w:rPr>
                <w:rFonts w:ascii="Calibri" w:hAnsi="Calibri"/>
                <w:color w:val="000000"/>
              </w:rPr>
              <w:t>two two-digit numbers, using</w:t>
            </w:r>
            <w:r w:rsidRPr="0013243B">
              <w:rPr>
                <w:rFonts w:ascii="Calibri" w:hAnsi="Calibri"/>
                <w:color w:val="000000"/>
              </w:rPr>
              <w:t xml:space="preserve"> strategies based on place value and the properties of operations.</w:t>
            </w:r>
          </w:p>
          <w:p w:rsidR="00042341" w:rsidRPr="00042341" w:rsidRDefault="00042341" w:rsidP="00042341"/>
          <w:p w:rsidR="00042341" w:rsidRDefault="00042341" w:rsidP="00042341"/>
          <w:p w:rsidR="00042341" w:rsidRPr="00042341" w:rsidRDefault="00042341" w:rsidP="00042341">
            <w:proofErr w:type="spellStart"/>
            <w:r w:rsidRPr="004969FA">
              <w:rPr>
                <w:u w:val="single"/>
              </w:rPr>
              <w:t>EnVisions</w:t>
            </w:r>
            <w:proofErr w:type="spellEnd"/>
            <w:r>
              <w:t xml:space="preserve"> </w:t>
            </w:r>
            <w:r w:rsidR="00DE3AD5">
              <w:t>2,3</w:t>
            </w:r>
          </w:p>
        </w:tc>
        <w:tc>
          <w:tcPr>
            <w:tcW w:w="5850" w:type="dxa"/>
          </w:tcPr>
          <w:p w:rsidR="00042341" w:rsidRDefault="00042341">
            <w:pPr>
              <w:rPr>
                <w:u w:val="single"/>
              </w:rPr>
            </w:pPr>
            <w:r w:rsidRPr="00042341">
              <w:rPr>
                <w:u w:val="single"/>
              </w:rPr>
              <w:t xml:space="preserve">Second Quarter </w:t>
            </w:r>
          </w:p>
          <w:p w:rsidR="003C1CC9" w:rsidRDefault="003C1CC9">
            <w:pPr>
              <w:rPr>
                <w:b/>
              </w:rPr>
            </w:pPr>
            <w:r>
              <w:rPr>
                <w:b/>
              </w:rPr>
              <w:t>Multiplication and Division</w:t>
            </w:r>
          </w:p>
          <w:p w:rsidR="003C1CC9" w:rsidRPr="003C1CC9" w:rsidRDefault="003C1CC9">
            <w:pPr>
              <w:rPr>
                <w:b/>
              </w:rPr>
            </w:pPr>
          </w:p>
          <w:p w:rsidR="003C1CC9" w:rsidRDefault="003C1CC9">
            <w:pPr>
              <w:rPr>
                <w:rFonts w:ascii="Calibri" w:hAnsi="Calibri"/>
                <w:color w:val="000000"/>
              </w:rPr>
            </w:pPr>
            <w:r>
              <w:rPr>
                <w:b/>
              </w:rPr>
              <w:t xml:space="preserve">4.NBT.B.5 </w:t>
            </w:r>
            <w:r w:rsidRPr="0013243B">
              <w:rPr>
                <w:rFonts w:ascii="Calibri" w:hAnsi="Calibri"/>
                <w:color w:val="000000"/>
              </w:rPr>
              <w:t xml:space="preserve">Multiply a whole number of up to four digits by a one-digit whole number, and multiply </w:t>
            </w:r>
            <w:r>
              <w:rPr>
                <w:rFonts w:ascii="Calibri" w:hAnsi="Calibri"/>
                <w:color w:val="000000"/>
              </w:rPr>
              <w:t>two two-digit numbers, using</w:t>
            </w:r>
            <w:r w:rsidRPr="0013243B">
              <w:rPr>
                <w:rFonts w:ascii="Calibri" w:hAnsi="Calibri"/>
                <w:color w:val="000000"/>
              </w:rPr>
              <w:t xml:space="preserve"> strategies based on place value and the properties of operations.</w:t>
            </w:r>
          </w:p>
          <w:p w:rsidR="003C1CC9" w:rsidRDefault="003C1CC9"/>
          <w:p w:rsidR="003C1CC9" w:rsidRDefault="003C1CC9">
            <w:pPr>
              <w:rPr>
                <w:rFonts w:ascii="Calibri" w:hAnsi="Calibri"/>
                <w:color w:val="000000"/>
              </w:rPr>
            </w:pPr>
            <w:r>
              <w:rPr>
                <w:b/>
              </w:rPr>
              <w:t xml:space="preserve">4.NBT.B.6 </w:t>
            </w:r>
            <w:r w:rsidRPr="0013243B">
              <w:rPr>
                <w:rFonts w:ascii="Calibri" w:hAnsi="Calibri"/>
                <w:color w:val="000000"/>
              </w:rPr>
              <w:t>Demonstrate understanding of division by finding whole-number quotients and remainders with up to four-digit dividends and one-digit divisors</w:t>
            </w:r>
          </w:p>
          <w:p w:rsidR="003C1CC9" w:rsidRDefault="003C1CC9">
            <w:pPr>
              <w:rPr>
                <w:b/>
              </w:rPr>
            </w:pPr>
          </w:p>
          <w:p w:rsidR="00C0184C" w:rsidRDefault="003C1CC9" w:rsidP="00042341">
            <w:pPr>
              <w:rPr>
                <w:b/>
              </w:rPr>
            </w:pPr>
            <w:r>
              <w:rPr>
                <w:b/>
              </w:rPr>
              <w:t>4.OA.B.4</w:t>
            </w:r>
            <w:r w:rsidRPr="0013243B">
              <w:rPr>
                <w:rFonts w:ascii="Calibri" w:hAnsi="Calibri"/>
                <w:color w:val="000000"/>
              </w:rPr>
              <w:t xml:space="preserve"> Find all factor pairs for a whole number in the range 1</w:t>
            </w:r>
            <w:r>
              <w:rPr>
                <w:rFonts w:ascii="Calibri" w:hAnsi="Calibri"/>
                <w:color w:val="000000"/>
              </w:rPr>
              <w:t xml:space="preserve"> to </w:t>
            </w:r>
            <w:r w:rsidRPr="0013243B">
              <w:rPr>
                <w:rFonts w:ascii="Calibri" w:hAnsi="Calibri"/>
                <w:color w:val="000000"/>
              </w:rPr>
              <w:t>100 and understand that a whole number is a multiple of each of its factors.</w:t>
            </w:r>
          </w:p>
          <w:p w:rsidR="00C0184C" w:rsidRDefault="00C0184C" w:rsidP="00042341">
            <w:pPr>
              <w:rPr>
                <w:b/>
              </w:rPr>
            </w:pPr>
          </w:p>
          <w:p w:rsidR="00042341" w:rsidRPr="00042341" w:rsidRDefault="00042341">
            <w:proofErr w:type="spellStart"/>
            <w:r w:rsidRPr="004969FA">
              <w:rPr>
                <w:u w:val="single"/>
              </w:rPr>
              <w:t>EnVisions</w:t>
            </w:r>
            <w:proofErr w:type="spellEnd"/>
            <w:r>
              <w:t xml:space="preserve"> Topic</w:t>
            </w:r>
            <w:r w:rsidR="00F92A42">
              <w:t xml:space="preserve"> </w:t>
            </w:r>
            <w:r w:rsidR="00DB552F">
              <w:t xml:space="preserve">4,5 </w:t>
            </w:r>
          </w:p>
        </w:tc>
      </w:tr>
      <w:tr w:rsidR="00042341" w:rsidTr="00151A4E">
        <w:tc>
          <w:tcPr>
            <w:tcW w:w="5850" w:type="dxa"/>
          </w:tcPr>
          <w:p w:rsidR="00042341" w:rsidRDefault="00042341">
            <w:pPr>
              <w:rPr>
                <w:u w:val="single"/>
              </w:rPr>
            </w:pPr>
            <w:r w:rsidRPr="00042341">
              <w:rPr>
                <w:u w:val="single"/>
              </w:rPr>
              <w:t xml:space="preserve">Third Quarter </w:t>
            </w:r>
          </w:p>
          <w:p w:rsidR="003C1CC9" w:rsidRDefault="00DE3AD5">
            <w:pPr>
              <w:rPr>
                <w:b/>
              </w:rPr>
            </w:pPr>
            <w:r>
              <w:rPr>
                <w:b/>
              </w:rPr>
              <w:t xml:space="preserve">Factoring and </w:t>
            </w:r>
            <w:r w:rsidR="00DB552F">
              <w:rPr>
                <w:b/>
              </w:rPr>
              <w:t xml:space="preserve">Fractions </w:t>
            </w:r>
          </w:p>
          <w:p w:rsidR="00DE3AD5" w:rsidRPr="00DE3AD5" w:rsidRDefault="00DE3AD5">
            <w:pPr>
              <w:rPr>
                <w:b/>
              </w:rPr>
            </w:pPr>
          </w:p>
          <w:p w:rsidR="003C1CC9" w:rsidRDefault="003C1CC9">
            <w:pPr>
              <w:rPr>
                <w:rFonts w:ascii="Calibri" w:hAnsi="Calibri"/>
                <w:color w:val="000000"/>
              </w:rPr>
            </w:pPr>
            <w:r>
              <w:rPr>
                <w:b/>
              </w:rPr>
              <w:t>4.</w:t>
            </w:r>
            <w:r w:rsidR="00DE3AD5">
              <w:rPr>
                <w:b/>
              </w:rPr>
              <w:t>OA.B.4</w:t>
            </w:r>
            <w:r w:rsidR="00DE3AD5" w:rsidRPr="0013243B">
              <w:rPr>
                <w:rFonts w:ascii="Calibri" w:hAnsi="Calibri"/>
                <w:color w:val="000000"/>
              </w:rPr>
              <w:t xml:space="preserve"> Find all factor pairs for a whole number in the range 1</w:t>
            </w:r>
            <w:r w:rsidR="00DE3AD5">
              <w:rPr>
                <w:rFonts w:ascii="Calibri" w:hAnsi="Calibri"/>
                <w:color w:val="000000"/>
              </w:rPr>
              <w:t xml:space="preserve"> to </w:t>
            </w:r>
            <w:r w:rsidR="00DE3AD5" w:rsidRPr="0013243B">
              <w:rPr>
                <w:rFonts w:ascii="Calibri" w:hAnsi="Calibri"/>
                <w:color w:val="000000"/>
              </w:rPr>
              <w:t>100 and understand that a whole number is a multiple of each of its factors.</w:t>
            </w:r>
          </w:p>
          <w:p w:rsidR="00DE3AD5" w:rsidRDefault="00DE3AD5">
            <w:pPr>
              <w:rPr>
                <w:b/>
              </w:rPr>
            </w:pPr>
          </w:p>
          <w:p w:rsidR="00DB552F" w:rsidRPr="00DB552F" w:rsidRDefault="00DB552F" w:rsidP="00DB552F">
            <w:r w:rsidRPr="00DB552F">
              <w:rPr>
                <w:b/>
              </w:rPr>
              <w:t>4.NF.A.1</w:t>
            </w:r>
            <w:r w:rsidRPr="00DB552F">
              <w:t xml:space="preserve"> – Explain why a fraction a/b is equivalent to a fraction (n x a)</w:t>
            </w:r>
            <w:proofErr w:type="gramStart"/>
            <w:r w:rsidRPr="00DB552F">
              <w:t>/(</w:t>
            </w:r>
            <w:proofErr w:type="gramEnd"/>
            <w:r w:rsidRPr="00DB552F">
              <w:t>n x b) by using visual fraction models, with attention to how the number and size of the parts differ even though the two fractions themselves are the same size. Use this principle to understand and generate equivalent fractions.</w:t>
            </w:r>
          </w:p>
          <w:p w:rsidR="00DB552F" w:rsidRPr="00DB552F" w:rsidRDefault="00DB552F" w:rsidP="00DB552F">
            <w:pPr>
              <w:rPr>
                <w:u w:val="single"/>
              </w:rPr>
            </w:pPr>
          </w:p>
          <w:p w:rsidR="00C0184C" w:rsidRDefault="00C0184C">
            <w:pPr>
              <w:rPr>
                <w:u w:val="single"/>
              </w:rPr>
            </w:pPr>
          </w:p>
          <w:p w:rsidR="00042341" w:rsidRPr="007C66E8" w:rsidRDefault="007C66E8">
            <w:proofErr w:type="spellStart"/>
            <w:r w:rsidRPr="004969FA">
              <w:rPr>
                <w:u w:val="single"/>
              </w:rPr>
              <w:t>En</w:t>
            </w:r>
            <w:r w:rsidR="004969FA" w:rsidRPr="004969FA">
              <w:rPr>
                <w:u w:val="single"/>
              </w:rPr>
              <w:t>V</w:t>
            </w:r>
            <w:r w:rsidRPr="004969FA">
              <w:rPr>
                <w:u w:val="single"/>
              </w:rPr>
              <w:t>isions</w:t>
            </w:r>
            <w:proofErr w:type="spellEnd"/>
            <w:r w:rsidRPr="007C66E8">
              <w:t xml:space="preserve"> </w:t>
            </w:r>
            <w:r>
              <w:t xml:space="preserve">Topic </w:t>
            </w:r>
            <w:r w:rsidR="00DE3AD5">
              <w:t>7, 15, 16</w:t>
            </w:r>
          </w:p>
        </w:tc>
        <w:tc>
          <w:tcPr>
            <w:tcW w:w="5850" w:type="dxa"/>
          </w:tcPr>
          <w:p w:rsidR="00042341" w:rsidRDefault="00042341">
            <w:pPr>
              <w:rPr>
                <w:u w:val="single"/>
              </w:rPr>
            </w:pPr>
            <w:r w:rsidRPr="00042341">
              <w:rPr>
                <w:u w:val="single"/>
              </w:rPr>
              <w:t xml:space="preserve">Fourth Quarter </w:t>
            </w:r>
          </w:p>
          <w:p w:rsidR="00826A6D" w:rsidRPr="003C1CC9" w:rsidRDefault="00826A6D" w:rsidP="00826A6D">
            <w:pPr>
              <w:rPr>
                <w:b/>
              </w:rPr>
            </w:pPr>
            <w:r>
              <w:rPr>
                <w:b/>
              </w:rPr>
              <w:t>4.G.A.2</w:t>
            </w:r>
            <w:r w:rsidRPr="003D7802">
              <w:rPr>
                <w:rFonts w:ascii="Calibri" w:hAnsi="Calibri"/>
                <w:color w:val="000000"/>
              </w:rPr>
              <w:t xml:space="preserve"> Classify two-dimensional figures based on the presence or absence of parallel or perpendicular lines, or the presence or absence of angles of a specified size</w:t>
            </w:r>
          </w:p>
          <w:p w:rsidR="00DE3AD5" w:rsidRDefault="00DE3AD5" w:rsidP="00042341">
            <w:pPr>
              <w:rPr>
                <w:u w:val="single"/>
              </w:rPr>
            </w:pPr>
          </w:p>
          <w:p w:rsidR="00DE3AD5" w:rsidRDefault="00DE3AD5" w:rsidP="00042341">
            <w:pPr>
              <w:rPr>
                <w:u w:val="single"/>
              </w:rPr>
            </w:pPr>
          </w:p>
          <w:p w:rsidR="00DE3AD5" w:rsidRDefault="00DE3AD5" w:rsidP="00042341">
            <w:pPr>
              <w:rPr>
                <w:u w:val="single"/>
              </w:rPr>
            </w:pPr>
          </w:p>
          <w:p w:rsidR="00DE3AD5" w:rsidRDefault="00DE3AD5" w:rsidP="00042341">
            <w:pPr>
              <w:rPr>
                <w:u w:val="single"/>
              </w:rPr>
            </w:pPr>
          </w:p>
          <w:p w:rsidR="00DE3AD5" w:rsidRDefault="00DE3AD5" w:rsidP="00042341">
            <w:pPr>
              <w:rPr>
                <w:u w:val="single"/>
              </w:rPr>
            </w:pPr>
          </w:p>
          <w:p w:rsidR="00DE3AD5" w:rsidRDefault="00DE3AD5" w:rsidP="00042341">
            <w:pPr>
              <w:rPr>
                <w:u w:val="single"/>
              </w:rPr>
            </w:pPr>
          </w:p>
          <w:p w:rsidR="00DE3AD5" w:rsidRDefault="00DE3AD5" w:rsidP="00042341">
            <w:pPr>
              <w:rPr>
                <w:u w:val="single"/>
              </w:rPr>
            </w:pPr>
          </w:p>
          <w:p w:rsidR="00DE3AD5" w:rsidRDefault="00DE3AD5" w:rsidP="00042341">
            <w:pPr>
              <w:rPr>
                <w:u w:val="single"/>
              </w:rPr>
            </w:pPr>
          </w:p>
          <w:p w:rsidR="00DE3AD5" w:rsidRDefault="00DE3AD5" w:rsidP="00042341">
            <w:pPr>
              <w:rPr>
                <w:u w:val="single"/>
              </w:rPr>
            </w:pPr>
          </w:p>
          <w:p w:rsidR="00DE3AD5" w:rsidRDefault="00DE3AD5" w:rsidP="00042341">
            <w:pPr>
              <w:rPr>
                <w:u w:val="single"/>
              </w:rPr>
            </w:pPr>
          </w:p>
          <w:p w:rsidR="00D45E1A" w:rsidRDefault="00D45E1A" w:rsidP="00042341">
            <w:pPr>
              <w:rPr>
                <w:u w:val="single"/>
              </w:rPr>
            </w:pPr>
          </w:p>
          <w:p w:rsidR="00042341" w:rsidRPr="00042341" w:rsidRDefault="00042341" w:rsidP="00042341">
            <w:proofErr w:type="spellStart"/>
            <w:r w:rsidRPr="004969FA">
              <w:rPr>
                <w:u w:val="single"/>
              </w:rPr>
              <w:t>En</w:t>
            </w:r>
            <w:r w:rsidR="004969FA" w:rsidRPr="004969FA">
              <w:rPr>
                <w:u w:val="single"/>
              </w:rPr>
              <w:t>V</w:t>
            </w:r>
            <w:r w:rsidRPr="004969FA">
              <w:rPr>
                <w:u w:val="single"/>
              </w:rPr>
              <w:t>ision</w:t>
            </w:r>
            <w:r w:rsidR="004969FA" w:rsidRPr="004969FA">
              <w:rPr>
                <w:u w:val="single"/>
              </w:rPr>
              <w:t>s</w:t>
            </w:r>
            <w:proofErr w:type="spellEnd"/>
            <w:r w:rsidR="00A30FB7">
              <w:rPr>
                <w:u w:val="single"/>
              </w:rPr>
              <w:t xml:space="preserve"> 15, 16 </w:t>
            </w:r>
            <w:bookmarkStart w:id="0" w:name="_GoBack"/>
            <w:bookmarkEnd w:id="0"/>
          </w:p>
        </w:tc>
      </w:tr>
    </w:tbl>
    <w:p w:rsidR="00042341" w:rsidRDefault="00042341"/>
    <w:sectPr w:rsidR="000423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FB7" w:rsidRDefault="00A30FB7" w:rsidP="007077A2">
      <w:pPr>
        <w:spacing w:after="0" w:line="240" w:lineRule="auto"/>
      </w:pPr>
      <w:r>
        <w:separator/>
      </w:r>
    </w:p>
  </w:endnote>
  <w:endnote w:type="continuationSeparator" w:id="0">
    <w:p w:rsidR="00A30FB7" w:rsidRDefault="00A30FB7" w:rsidP="0070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FB7" w:rsidRDefault="00A30FB7" w:rsidP="007077A2">
      <w:pPr>
        <w:spacing w:after="0" w:line="240" w:lineRule="auto"/>
      </w:pPr>
      <w:r>
        <w:separator/>
      </w:r>
    </w:p>
  </w:footnote>
  <w:footnote w:type="continuationSeparator" w:id="0">
    <w:p w:rsidR="00A30FB7" w:rsidRDefault="00A30FB7" w:rsidP="00707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FB7" w:rsidRPr="007077A2" w:rsidRDefault="00A30FB7" w:rsidP="007077A2">
    <w:pPr>
      <w:pStyle w:val="Header"/>
      <w:jc w:val="center"/>
      <w:rPr>
        <w:sz w:val="40"/>
      </w:rPr>
    </w:pPr>
    <w:r w:rsidRPr="007077A2">
      <w:rPr>
        <w:noProof/>
        <w:color w:val="000000" w:themeColor="text1"/>
        <w:sz w:val="52"/>
      </w:rPr>
      <w:drawing>
        <wp:anchor distT="0" distB="0" distL="114300" distR="114300" simplePos="0" relativeHeight="251659264" behindDoc="1" locked="0" layoutInCell="1" allowOverlap="0" wp14:anchorId="62EF29D5" wp14:editId="0C24B0D1">
          <wp:simplePos x="0" y="0"/>
          <wp:positionH relativeFrom="column">
            <wp:posOffset>-205740</wp:posOffset>
          </wp:positionH>
          <wp:positionV relativeFrom="paragraph">
            <wp:posOffset>3810</wp:posOffset>
          </wp:positionV>
          <wp:extent cx="722630" cy="752277"/>
          <wp:effectExtent l="0" t="0" r="1270" b="0"/>
          <wp:wrapThrough wrapText="bothSides">
            <wp:wrapPolygon edited="0">
              <wp:start x="0" y="0"/>
              <wp:lineTo x="0" y="20797"/>
              <wp:lineTo x="21069" y="20797"/>
              <wp:lineTo x="21069" y="0"/>
              <wp:lineTo x="0" y="0"/>
            </wp:wrapPolygon>
          </wp:wrapThrough>
          <wp:docPr id="1" name="Picture 1" descr="d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2630" cy="7522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77A2">
      <w:rPr>
        <w:sz w:val="40"/>
      </w:rPr>
      <w:t>Whiteriver Unified School District Essential Standards Quarterly Focus</w:t>
    </w:r>
  </w:p>
  <w:p w:rsidR="00A30FB7" w:rsidRDefault="00A30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41"/>
    <w:rsid w:val="00042341"/>
    <w:rsid w:val="000C7817"/>
    <w:rsid w:val="00127869"/>
    <w:rsid w:val="00151A4E"/>
    <w:rsid w:val="00204267"/>
    <w:rsid w:val="00280B25"/>
    <w:rsid w:val="00326039"/>
    <w:rsid w:val="003C1CC9"/>
    <w:rsid w:val="004054F5"/>
    <w:rsid w:val="004969FA"/>
    <w:rsid w:val="00640699"/>
    <w:rsid w:val="007009F3"/>
    <w:rsid w:val="007077A2"/>
    <w:rsid w:val="007C66E8"/>
    <w:rsid w:val="00826A6D"/>
    <w:rsid w:val="00920C03"/>
    <w:rsid w:val="00A30FB7"/>
    <w:rsid w:val="00B43A47"/>
    <w:rsid w:val="00B5539A"/>
    <w:rsid w:val="00C0184C"/>
    <w:rsid w:val="00CC3ADD"/>
    <w:rsid w:val="00CC5EDC"/>
    <w:rsid w:val="00CE7581"/>
    <w:rsid w:val="00D45E1A"/>
    <w:rsid w:val="00DB552F"/>
    <w:rsid w:val="00DE3AD5"/>
    <w:rsid w:val="00F9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FD2F"/>
  <w15:chartTrackingRefBased/>
  <w15:docId w15:val="{78A639C8-3FF8-4948-A3B6-2BB39109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7A2"/>
  </w:style>
  <w:style w:type="paragraph" w:styleId="Footer">
    <w:name w:val="footer"/>
    <w:basedOn w:val="Normal"/>
    <w:link w:val="FooterChar"/>
    <w:uiPriority w:val="99"/>
    <w:unhideWhenUsed/>
    <w:rsid w:val="0070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Warwick</dc:creator>
  <cp:keywords/>
  <dc:description/>
  <cp:lastModifiedBy>Virginia Warwick</cp:lastModifiedBy>
  <cp:revision>2</cp:revision>
  <dcterms:created xsi:type="dcterms:W3CDTF">2022-07-20T00:54:00Z</dcterms:created>
  <dcterms:modified xsi:type="dcterms:W3CDTF">2022-07-20T00:54:00Z</dcterms:modified>
</cp:coreProperties>
</file>